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Réalisation d’un autotest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2 jours après le premier test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de l’autotest réalisé 2 jours après le premier test, le ………………… [date de l’autotest],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cript"/>
    <w:pitch w:val="default"/>
  </w:font>
  <w:font w:name="Segoe UI">
    <w:charset w:val="01"/>
    <w:family w:val="script"/>
    <w:pitch w:val="default"/>
  </w:font>
  <w:font w:name="Comic Sans MS">
    <w:charset w:val="01"/>
    <w:family w:val="script"/>
    <w:pitch w:val="default"/>
  </w:font>
  <w:font w:name="Arial">
    <w:charset w:val="01"/>
    <w:family w:val="script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omic Sans MS" w:hAnsi="Comic Sans M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omic Sans MS" w:hAnsi="Comic Sans MS"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omic Sans MS" w:hAnsi="Comic Sans M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omic Sans MS" w:hAnsi="Comic Sans MS"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110-295C-40F2-9DE8-ED11613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2022-01-04T11:04:00Z</dcterms:created>
  <dc:creator>LAURE-AURELIA GUILLOU</dc:creator>
  <dc:language>en-GB</dc:language>
  <cp:lastModifiedBy>LAUREN ESPIE</cp:lastModifiedBy>
  <dcterms:modified xsi:type="dcterms:W3CDTF">2022-01-04T11:04:00Z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